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6" w:rsidRDefault="005736D4" w:rsidP="005736D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Kalimati"/>
          <w:color w:val="212529"/>
          <w:sz w:val="36"/>
          <w:szCs w:val="36"/>
        </w:rPr>
      </w:pPr>
      <w:r w:rsidRPr="005736D4">
        <w:rPr>
          <w:rFonts w:ascii="Arial" w:eastAsia="Times New Roman" w:hAnsi="Arial" w:cs="Kalimati" w:hint="cs"/>
          <w:color w:val="212529"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-61595</wp:posOffset>
            </wp:positionH>
            <wp:positionV relativeFrom="paragraph">
              <wp:posOffset>-197485</wp:posOffset>
            </wp:positionV>
            <wp:extent cx="909955" cy="681990"/>
            <wp:effectExtent l="19050" t="0" r="4445" b="0"/>
            <wp:wrapThrough wrapText="bothSides">
              <wp:wrapPolygon edited="0">
                <wp:start x="-452" y="0"/>
                <wp:lineTo x="-452" y="21117"/>
                <wp:lineTo x="21706" y="21117"/>
                <wp:lineTo x="21706" y="0"/>
                <wp:lineTo x="-4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nepal_embelm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Kalimati" w:hint="cs"/>
          <w:color w:val="212529"/>
          <w:sz w:val="36"/>
          <w:szCs w:val="36"/>
          <w:cs/>
        </w:rPr>
        <w:t xml:space="preserve">                   </w:t>
      </w:r>
      <w:r w:rsidR="00182F43" w:rsidRPr="00182F43">
        <w:rPr>
          <w:rFonts w:ascii="Arial" w:eastAsia="Times New Roman" w:hAnsi="Arial" w:cs="Kalimati"/>
          <w:color w:val="212529"/>
          <w:sz w:val="36"/>
          <w:szCs w:val="36"/>
          <w:cs/>
        </w:rPr>
        <w:t>उच्च सरकारी वकील कार्यालय</w:t>
      </w:r>
    </w:p>
    <w:p w:rsidR="00894846" w:rsidRDefault="00A64E03" w:rsidP="00A64E03">
      <w:pPr>
        <w:shd w:val="clear" w:color="auto" w:fill="FFFFFF"/>
        <w:spacing w:after="0" w:line="240" w:lineRule="auto"/>
        <w:ind w:firstLine="720"/>
        <w:outlineLvl w:val="1"/>
        <w:rPr>
          <w:rFonts w:ascii="Arial" w:eastAsia="Times New Roman" w:hAnsi="Arial" w:cs="Kalimati"/>
          <w:color w:val="212529"/>
          <w:sz w:val="28"/>
          <w:szCs w:val="28"/>
        </w:rPr>
      </w:pPr>
      <w:r>
        <w:rPr>
          <w:rFonts w:ascii="Arial" w:eastAsia="Times New Roman" w:hAnsi="Arial" w:cs="Kalimati" w:hint="cs"/>
          <w:color w:val="212529"/>
          <w:sz w:val="28"/>
          <w:szCs w:val="28"/>
          <w:cs/>
        </w:rPr>
        <w:t xml:space="preserve">                              </w:t>
      </w:r>
      <w:r w:rsidR="00F40A0B">
        <w:rPr>
          <w:rFonts w:ascii="Arial" w:eastAsia="Times New Roman" w:hAnsi="Arial" w:cs="Kalimati" w:hint="cs"/>
          <w:color w:val="212529"/>
          <w:sz w:val="28"/>
          <w:szCs w:val="28"/>
          <w:cs/>
        </w:rPr>
        <w:t>जनकपुर</w:t>
      </w:r>
    </w:p>
    <w:p w:rsidR="00894846" w:rsidRPr="00894846" w:rsidRDefault="00894846" w:rsidP="00894846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Arial" w:eastAsia="Times New Roman" w:hAnsi="Arial" w:cs="Kalimati"/>
          <w:color w:val="212529"/>
          <w:sz w:val="20"/>
        </w:rPr>
      </w:pPr>
      <w:r w:rsidRPr="00894846">
        <w:rPr>
          <w:rFonts w:ascii="Arial" w:eastAsia="Times New Roman" w:hAnsi="Arial" w:cs="Kalimati" w:hint="cs"/>
          <w:color w:val="212529"/>
          <w:sz w:val="20"/>
          <w:cs/>
        </w:rPr>
        <w:t>सुशासन</w:t>
      </w:r>
      <w:r w:rsidR="00FC3AE8">
        <w:rPr>
          <w:rFonts w:ascii="Arial" w:eastAsia="Times New Roman" w:hAnsi="Arial" w:cs="Kalimati" w:hint="cs"/>
          <w:color w:val="212529"/>
          <w:sz w:val="20"/>
          <w:cs/>
        </w:rPr>
        <w:t xml:space="preserve"> </w:t>
      </w:r>
      <w:r w:rsidRPr="00894846">
        <w:rPr>
          <w:rFonts w:ascii="Arial" w:eastAsia="Times New Roman" w:hAnsi="Arial" w:cs="Kalimati" w:hint="cs"/>
          <w:color w:val="212529"/>
          <w:sz w:val="20"/>
          <w:cs/>
        </w:rPr>
        <w:t>(व्यवस्थापन तथा सञ्चालन) ऐन, २०६४ को दफा २५ र सुशासन</w:t>
      </w:r>
      <w:r w:rsidR="00862FF7">
        <w:rPr>
          <w:rFonts w:ascii="Arial" w:eastAsia="Times New Roman" w:hAnsi="Arial" w:cs="Kalimati" w:hint="cs"/>
          <w:color w:val="212529"/>
          <w:sz w:val="20"/>
          <w:cs/>
        </w:rPr>
        <w:t xml:space="preserve"> </w:t>
      </w:r>
      <w:r w:rsidRPr="00894846">
        <w:rPr>
          <w:rFonts w:ascii="Arial" w:eastAsia="Times New Roman" w:hAnsi="Arial" w:cs="Kalimati" w:hint="cs"/>
          <w:color w:val="212529"/>
          <w:sz w:val="20"/>
          <w:cs/>
        </w:rPr>
        <w:t xml:space="preserve">(व्यवस्थापन तथा सञ्चालन) नियमावली, २०६५ को नियम १४ को प्रयोजनार्थ </w:t>
      </w:r>
    </w:p>
    <w:p w:rsidR="00182F43" w:rsidRPr="00894846" w:rsidRDefault="00182F43" w:rsidP="00894846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Arial" w:eastAsia="Times New Roman" w:hAnsi="Arial" w:cs="Kalimati"/>
          <w:color w:val="212529"/>
          <w:sz w:val="28"/>
          <w:szCs w:val="28"/>
        </w:rPr>
      </w:pPr>
      <w:r w:rsidRPr="00182F43">
        <w:rPr>
          <w:rFonts w:ascii="Arial" w:eastAsia="Times New Roman" w:hAnsi="Arial" w:cs="Kalimati"/>
          <w:color w:val="212529"/>
          <w:sz w:val="36"/>
          <w:szCs w:val="36"/>
          <w:u w:val="single"/>
          <w:cs/>
        </w:rPr>
        <w:t>नागरिक वडापत्र</w:t>
      </w:r>
    </w:p>
    <w:tbl>
      <w:tblPr>
        <w:tblW w:w="13770" w:type="dxa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330"/>
        <w:gridCol w:w="2880"/>
        <w:gridCol w:w="1170"/>
        <w:gridCol w:w="900"/>
        <w:gridCol w:w="1080"/>
        <w:gridCol w:w="2250"/>
        <w:gridCol w:w="1710"/>
        <w:gridCol w:w="90"/>
      </w:tblGrid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A87E36" w:rsidRPr="00182F43" w:rsidRDefault="00A87E36" w:rsidP="009E3BD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 w:rsidRPr="00182F43"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  <w:cs/>
              </w:rPr>
              <w:t>क्र</w:t>
            </w:r>
            <w:r w:rsidRPr="00182F43"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>.</w:t>
            </w:r>
            <w:r w:rsidRPr="00182F43"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  <w:cs/>
              </w:rPr>
              <w:t>सं</w:t>
            </w:r>
            <w:r w:rsidRPr="00182F43"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>.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A87E36" w:rsidRPr="00182F43" w:rsidRDefault="00A87E36" w:rsidP="009E3BD4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 xml:space="preserve">प्रदान गरिने सेवा 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A87E36" w:rsidRPr="00182F43" w:rsidRDefault="00A87E36" w:rsidP="009E3BD4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 w:rsidRPr="00182F43"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  <w:cs/>
              </w:rPr>
              <w:t>आवश्यक कागजात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A87E36" w:rsidRPr="00182F43" w:rsidRDefault="00A87E36" w:rsidP="009E3BD4">
            <w:pPr>
              <w:spacing w:after="100" w:afterAutospacing="1" w:line="240" w:lineRule="auto"/>
              <w:ind w:left="75" w:right="75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>सेवा प्रवाह गर्दा लाग्ने समय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87E36" w:rsidRPr="00182F43" w:rsidRDefault="00A87E36" w:rsidP="009E3BD4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>सेवा दस्तुर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7E36" w:rsidRPr="00182F43" w:rsidRDefault="00A87E36" w:rsidP="009E3BD4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>सेवा प्रदान गर्ने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87E36" w:rsidRPr="00182F43" w:rsidRDefault="00A87E36" w:rsidP="009E3BD4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 xml:space="preserve">निर्णय </w:t>
            </w:r>
            <w:r w:rsidRPr="00182F43"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  <w:cs/>
              </w:rPr>
              <w:t xml:space="preserve">गर्ने </w:t>
            </w:r>
            <w:r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szCs w:val="17"/>
                <w:cs/>
              </w:rPr>
              <w:t>पदाधिकारी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87E36" w:rsidRPr="00182F43" w:rsidRDefault="00A87E36" w:rsidP="005736D4">
            <w:pPr>
              <w:spacing w:after="100" w:afterAutospacing="1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  <w:r w:rsidRPr="00182F43"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  <w:cs/>
              </w:rPr>
              <w:t>गुनासो सुन्ने अधिकारी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A87E36" w:rsidRPr="00182F43" w:rsidRDefault="00A87E36" w:rsidP="009E3BD4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A87E36" w:rsidRPr="0084571A" w:rsidRDefault="00A87E36" w:rsidP="007904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A87E36" w:rsidRPr="0084571A" w:rsidRDefault="00D9355D" w:rsidP="007904C5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नेपाल सरकार र नेपाल सरकारले तोकिदिएको अन्य अधिकारीलाई </w:t>
            </w:r>
            <w:r w:rsidR="00A87E36"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कानूनी राय सल्लाह प्रदान 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A76FE" w:rsidRDefault="00FA76FE" w:rsidP="007904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कानूनी राय सल्लाह मा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रेको पत्र</w:t>
            </w:r>
          </w:p>
          <w:p w:rsidR="007904C5" w:rsidRPr="007904C5" w:rsidRDefault="00A87E36" w:rsidP="00FA7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7904C5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सरकारी वकील सम्बन्धी नि</w:t>
            </w:r>
            <w:r w:rsidR="00B3433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यमावली, २०७७ को नियम ३८ बमोजिम</w:t>
            </w:r>
            <w:r w:rsidRPr="007904C5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रित पूर्वकका कागजात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A87E36" w:rsidRPr="0084571A" w:rsidRDefault="00A87E36" w:rsidP="007904C5">
            <w:pPr>
              <w:spacing w:after="0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कागजात प्राप्त भएको ७ (सात) दिन 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87E36" w:rsidRPr="0084571A" w:rsidRDefault="00A87E36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7E36" w:rsidRPr="0084571A" w:rsidRDefault="00A87E36" w:rsidP="007904C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A87E36" w:rsidRPr="0084571A" w:rsidRDefault="00A87E36" w:rsidP="007904C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87E36" w:rsidRPr="0084571A" w:rsidRDefault="00F40A0B" w:rsidP="005736D4">
            <w:pPr>
              <w:spacing w:after="0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A87E36" w:rsidRPr="0084571A" w:rsidRDefault="00F40A0B" w:rsidP="007904C5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rPr>
          <w:trHeight w:val="1735"/>
        </w:trPr>
        <w:tc>
          <w:tcPr>
            <w:tcW w:w="360" w:type="dxa"/>
            <w:shd w:val="clear" w:color="auto" w:fill="FFFFFF"/>
            <w:vAlign w:val="center"/>
            <w:hideMark/>
          </w:tcPr>
          <w:p w:rsidR="00E05EF8" w:rsidRPr="0084571A" w:rsidRDefault="00E05EF8" w:rsidP="008509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E05EF8" w:rsidRPr="0084571A" w:rsidRDefault="00C9621E" w:rsidP="00850946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सरकारी साक्षीको </w:t>
            </w:r>
            <w:r w:rsidR="00E05EF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बकपत्रको कारवाही </w:t>
            </w:r>
            <w:r w:rsidR="00E05EF8"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 w:rsidR="00E05EF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C9621E" w:rsidRDefault="00C9621E" w:rsidP="008509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साक्षीको बकपत्रका ला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ि तोकिएको अदालतको पत्र</w:t>
            </w:r>
          </w:p>
          <w:p w:rsidR="00C9621E" w:rsidRDefault="00C9621E" w:rsidP="008509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सरकारी साक्षी उपस्थित 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राएको पत्र </w:t>
            </w:r>
          </w:p>
          <w:p w:rsidR="00C9621E" w:rsidRPr="00C9621E" w:rsidRDefault="00C9621E" w:rsidP="008509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सम्बन्धित मुद्दाको </w:t>
            </w:r>
            <w:r w:rsidR="00966A71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</w:t>
            </w:r>
            <w:r w:rsidR="00966A71"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 w:rsidR="00966A71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जात अध्यावधिक भएको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मिसिल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E05EF8" w:rsidRPr="0084571A" w:rsidRDefault="00C9621E" w:rsidP="00850946">
            <w:pPr>
              <w:spacing w:after="0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बकपत्र तोकिएकै दिन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05EF8" w:rsidRPr="0084571A" w:rsidRDefault="00C9621E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05EF8" w:rsidRPr="0084571A" w:rsidRDefault="00C9621E" w:rsidP="00850946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05EF8" w:rsidRPr="0084571A" w:rsidRDefault="00C9621E" w:rsidP="00850946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तोकिएको सरकारी वकील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05EF8" w:rsidRPr="0084571A" w:rsidRDefault="00F40A0B" w:rsidP="005736D4">
            <w:pPr>
              <w:spacing w:after="0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E05EF8" w:rsidRPr="0084571A" w:rsidRDefault="00F40A0B" w:rsidP="00850946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rPr>
          <w:trHeight w:val="1509"/>
        </w:trPr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EF34C3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नेपाल सरकार वादी हुने मुद्दाहरु चलाउने वा नचलाउने (आंशिक समेत) निर्णय गर्ने</w:t>
            </w:r>
            <w:r w:rsidR="00EF34C3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तथा प्रतिवादी नखुलेका मुद्दाहरु र कोही कसैको कर्तव्य नभएको मुद्दाहरुमा मुद्दा नचल्ने गरी तामेली निर्णय 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Default="00F40A0B" w:rsidP="00EE0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सम्बन्धित सरकारी वकील कार्यालयको निर्णय</w:t>
            </w:r>
            <w:r w:rsidRPr="00EE0FAD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र पत्र</w:t>
            </w:r>
          </w:p>
          <w:p w:rsidR="00F40A0B" w:rsidRPr="00EE0FAD" w:rsidRDefault="00F40A0B" w:rsidP="00EE0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निर्णयसँ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  <w:r w:rsidRPr="00EE0FAD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सम्बन्धित मुद्दाको मिसिल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EE0FAD">
            <w:pPr>
              <w:spacing w:after="0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कानूनले तोकेको म्याद र हदम्यादभित्र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EE0FA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EF34C3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सहन्यायाधिवक्ता तथा </w:t>
            </w:r>
            <w:r w:rsidR="00EF34C3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निज नभएको अवस्थामा 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तोक</w:t>
            </w:r>
            <w:r w:rsidR="00EF34C3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िए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को उपन्यायाधिवक्ता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  <w:r w:rsidRPr="0083158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EE0FA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EE0F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F40A0B">
            <w:pPr>
              <w:spacing w:after="100" w:afterAutospacing="1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नेपाल सरकारको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हक, हित वा सरोकार निहित रहेको मुद्दामा नेपाल सरकारको 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तर्फबाट उच्च अदालत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जनकपुरमा उपस्थित भइ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बहस पैरवी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तथा प्रतिरक्षा 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Pr="00EE0FAD" w:rsidRDefault="00F40A0B" w:rsidP="00EE0FAD">
            <w:pPr>
              <w:pStyle w:val="ListParagraph"/>
              <w:numPr>
                <w:ilvl w:val="0"/>
                <w:numId w:val="7"/>
              </w:numPr>
              <w:spacing w:after="100" w:afterAutospacing="1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EE0FAD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सम्बन्धित मुद्दाको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जातहरु अद्यावधिक भएको </w:t>
            </w:r>
            <w:r w:rsidRPr="00EE0FAD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मिसिल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9E3BD4">
            <w:pPr>
              <w:spacing w:after="100" w:afterAutospacing="1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पेशी तोकिएको दिन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E05EF8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तथा रिट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E05EF8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सहन्यायाधिवक्ता/सहन्यायाधिवक्ताले तोकेको सम्बन्धित उपन्यायाधिवक्ता तथा सहायक न्यायाधिवक्ता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 w:rsidRPr="0083158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E05EF8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rPr>
          <w:trHeight w:val="2275"/>
        </w:trPr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9E3BD4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F40A0B">
            <w:pPr>
              <w:spacing w:after="100" w:afterAutospacing="1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उच्च अदालत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ले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गरेको आदेश वा फैसला (मुद्दा तथा रिट) को कार्यान्वयनका लागि सम्बन्धित निकायमा लेखी पठाउने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Default="00F40A0B" w:rsidP="00AF014B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ind w:left="255" w:right="75" w:hanging="180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AF014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आदेश वा फैसलाको प्रमाणित प्रतिलिपी</w:t>
            </w:r>
          </w:p>
          <w:p w:rsidR="00F40A0B" w:rsidRPr="00AF014B" w:rsidRDefault="00F40A0B" w:rsidP="00AF014B">
            <w:pPr>
              <w:spacing w:after="100" w:afterAutospacing="1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171F74">
            <w:pPr>
              <w:spacing w:after="100" w:afterAutospacing="1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आदेश वा फैसला प्राप्त भएको मितिले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३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(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तीन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) दिनभित्र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E05EF8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तथा रिट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E05EF8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सहन्यायाधिवक्ता/सहन्यायाधिवक्ताले तोकेको सम्बन्धित उपन्यायाधिवक्ता तथा सहायक न्यायाधिवक्ता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 w:rsidRPr="0083158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E05EF8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नेपाल सरकार वादी हुने मुद्दामा पुनरावेदन, निवेदन, (अन्तरकालिन आदेश उपरको निवेदन, दोहोर्याई हेरी पाउने निवेदन) सम्बन्धी कारवाही 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Default="00F40A0B" w:rsidP="004A12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सम्बन्धित </w:t>
            </w:r>
            <w:r w:rsidRPr="0009300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सरकारी वकील कार्यालयको प्रस्तावित राय तथा मस्यौदा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  <w:p w:rsidR="00F40A0B" w:rsidRPr="00093008" w:rsidRDefault="00F40A0B" w:rsidP="004A12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सोसँ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सम्बन्धित </w:t>
            </w:r>
            <w:r w:rsidRPr="0009300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मुद्दाको 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आवश्यक का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जात अद्यावधिक भएको </w:t>
            </w:r>
            <w:r w:rsidRPr="00093008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मिसिल 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कानूनले तोकेको म्यादभित्र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तथा रिट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4A122B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 तथा सहन्यायाधिवक्ताले तोकेको सम्बन्धित सरकारी वकील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 w:rsidRPr="00E73B0C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5736D4" w:rsidP="00F40A0B">
            <w:pPr>
              <w:spacing w:after="0" w:line="240" w:lineRule="auto"/>
              <w:ind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ने</w:t>
            </w:r>
            <w:r w:rsidR="00F40A0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पाल </w:t>
            </w:r>
            <w:r w:rsidR="00F40A0B"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सरकार/संवैधानिक निकाय/नेपाल सरकारका आयोग/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सचिवालय/नेपाल सरकारका </w:t>
            </w:r>
            <w:r w:rsidR="00F40A0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</w:t>
            </w:r>
            <w:r w:rsidR="00F40A0B"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न्त्रालय/विभाग/सचिवालय/कार्यालय/पदाधिकारीबाट प्राप्त हुने लिखित जवाफ उच्च अदालतमा पेश 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Default="00F40A0B" w:rsidP="004A12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4A122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सम्बन्धित निकायको लिखित जवाफ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(रितपूर्वकको, पृष्ठ तीन भन्दा बढी भए लिखित जवाफको सारसंक्षेप समेत हुनुपर्ने, </w:t>
            </w:r>
            <w:r w:rsidRPr="004A122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विद्युतीय प्रति समेत) </w:t>
            </w:r>
          </w:p>
          <w:p w:rsidR="00F40A0B" w:rsidRDefault="00F40A0B" w:rsidP="004A12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म्याद तामेलको सक्कलै प्रति</w:t>
            </w:r>
          </w:p>
          <w:p w:rsidR="00F40A0B" w:rsidRDefault="00F40A0B" w:rsidP="004A12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म्याद 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ुज्रेको भए म्याद थाम्ने निवेदन</w:t>
            </w:r>
          </w:p>
          <w:p w:rsidR="00F40A0B" w:rsidRPr="004A122B" w:rsidRDefault="00F40A0B" w:rsidP="004A12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सो लिखित जवाफसँ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सम्बन्धित निवेदनको प्रतिलिपी र </w:t>
            </w:r>
            <w:r w:rsidRPr="004A122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प्रमाण कागजात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हरु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F40A0B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लिखित जवाफ प्राप्त भए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कै दिन वा सोको भोली पल्ट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तथा रिट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4A122B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तोकिएको सहायक न्यायाधिवक्ता/उपन्यायाधिवक्ता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 w:rsidRPr="00E73B0C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4A122B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ED58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ED5894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मुद्दासँग सम्बन्धित निवेदन वा कारागार/बालसुधार गृह एवम अन्य निकायबाट प्राप्त हुने पत्र/निवेदन उपर आवश्यक कारवाही 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Default="00F40A0B" w:rsidP="00ED58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4A122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निवेदनसँग सम्बन्धित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पत्र/निवेदन, </w:t>
            </w:r>
            <w:r w:rsidRPr="004A122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कागजात,</w:t>
            </w:r>
          </w:p>
          <w:p w:rsidR="00F40A0B" w:rsidRPr="004A122B" w:rsidRDefault="00F40A0B" w:rsidP="00ED58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4A122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सम्बन्धित मुद्दाको अन्तरकालिन तथा अन्तिम आदेश तथा अन्तिम फैसलाको प्रमाणित प्रतिलिपी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ED589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निवेदन वा पत्र प्राप्त भएको मितिले ३ (तीन) दिन 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ED589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प्रशासन तथा रिट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ED589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तोकिएको 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सरकारी वकील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 w:rsidRPr="00E73B0C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ED589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ED58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D515E6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कसूर पीडित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महिला तथा बालबालिका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/प्रतिवादी/अन्य सरोकारवाला व्यक्तिले दिएको निवेदन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उपर कारवाही गर्ने तथा सहजीकरण 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Default="00F40A0B" w:rsidP="002410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उल्लिखित व्यक्तिको </w:t>
            </w:r>
            <w:r w:rsidRPr="00E87CD0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निवेदन </w:t>
            </w:r>
          </w:p>
          <w:p w:rsidR="00F40A0B" w:rsidRPr="00E87CD0" w:rsidRDefault="00F40A0B" w:rsidP="002410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E87CD0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सो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निवेदन</w:t>
            </w:r>
            <w:r w:rsidRPr="00E87CD0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सँग सम्बन्धित आवश्यक कागजात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241000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निवेदन प्राप्त भएको मितिले ३(तीन) दिनभित्र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241000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तथा रीट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241000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तोकिएको सरकारी वकील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 w:rsidRPr="00E73B0C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241000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1E4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1E4741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मुलुकी फौजदारी कार्यविधि संहिता, २०७४ को दफा ११७ को उपदफा (२) बमोजिम मिलापत्र गराउन आदेश दिने/नदिने निर्णय गर्ने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Default="00F40A0B" w:rsidP="001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मिलापत्रको ला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ि यस कार्यालयलाई दिएको </w:t>
            </w:r>
            <w:r w:rsidRPr="000D7574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पीडित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र </w:t>
            </w:r>
            <w:r w:rsidRPr="000D7574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प्रतिवादीको संयुक्त निवेदन, </w:t>
            </w:r>
          </w:p>
          <w:p w:rsidR="00F40A0B" w:rsidRDefault="00F40A0B" w:rsidP="001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निवेदन सनाखतका ला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ग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ि पीडित र प्रतिवादी उपस्थित हुनु पर्ने, </w:t>
            </w:r>
          </w:p>
          <w:p w:rsidR="00F40A0B" w:rsidRPr="000D7574" w:rsidRDefault="00F40A0B" w:rsidP="000345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0D7574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कागजात अद्यावधिक सहितको सम्बन्धित  मिसिल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F40A0B" w:rsidP="001E4741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निवेदन प्राप्त भएको ३(तीन) दिनभित्र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F40A0B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F40A0B" w:rsidP="001E4741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मुद्दा तथा रीट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F40A0B" w:rsidP="001E4741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1710" w:type="dxa"/>
            <w:shd w:val="clear" w:color="auto" w:fill="FFFFFF"/>
          </w:tcPr>
          <w:p w:rsidR="00F40A0B" w:rsidRDefault="00F40A0B">
            <w:r w:rsidRPr="00E73B0C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Pr="0084571A" w:rsidRDefault="00F40A0B" w:rsidP="001E4741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7463D8" w:rsidRPr="0084571A" w:rsidRDefault="007463D8" w:rsidP="001E4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7463D8" w:rsidRPr="0084571A" w:rsidRDefault="00B26070" w:rsidP="00B2607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कार्यालय प्रयोजनको लागि आवश्यक पर्ने </w:t>
            </w:r>
            <w:r w:rsidR="007711D5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सार्वजनिक खरिद तथा मर्मत संभार</w:t>
            </w:r>
            <w:r w:rsidR="0095600D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गर्ने</w:t>
            </w:r>
            <w:r w:rsidR="007711D5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,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सो को </w:t>
            </w:r>
            <w:r w:rsidR="007711D5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लेखा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राख्ने </w:t>
            </w:r>
            <w:r w:rsidR="007711D5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तथा भुक्तानी गर्ने</w:t>
            </w:r>
            <w:r w:rsidR="0095600D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, लेखा परीक्षण गराउने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7463D8" w:rsidRDefault="000F002B" w:rsidP="002D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निर्माण तथा मर्मत सम्बन्धी इष्टीमेट, कोटेशन, सूची दर्ता, कर विल विजक</w:t>
            </w:r>
            <w:r w:rsidR="002D58A4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, कर तथा राजश्व वुझाएको प्रमाणका अतिरिक्त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सार्वजनिक खरिद ऐन, २०६</w:t>
            </w:r>
            <w:r w:rsidR="002D58A4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३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तथा सार्वजनिक खरिद नियमावली २०६४ अनुसार आवश्यक पर्ने अन्य कागजात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7463D8" w:rsidRPr="0084571A" w:rsidRDefault="002D58A4" w:rsidP="001E4741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म्याद तोकिएकोमा सो म्याद भित्र र अन्यमा ७ (सात) दिनभित्र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463D8" w:rsidRPr="0084571A" w:rsidRDefault="00726515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B26070" w:rsidRDefault="00726515" w:rsidP="001E4741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प्रशासन</w:t>
            </w:r>
            <w:r w:rsidR="00B26070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शाखा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तथा </w:t>
            </w:r>
          </w:p>
          <w:p w:rsidR="007463D8" w:rsidRPr="0084571A" w:rsidRDefault="00726515" w:rsidP="001E4741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लेखा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463D8" w:rsidRPr="0084571A" w:rsidRDefault="00726515" w:rsidP="001E4741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463D8" w:rsidRDefault="00F40A0B" w:rsidP="005736D4">
            <w:pPr>
              <w:spacing w:after="0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7463D8" w:rsidRPr="0084571A" w:rsidRDefault="007463D8" w:rsidP="001E4741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850946" w:rsidRPr="0084571A" w:rsidRDefault="00850946" w:rsidP="001E4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850946" w:rsidRPr="0084571A" w:rsidRDefault="00850946" w:rsidP="00D01EAC">
            <w:pPr>
              <w:spacing w:after="100" w:afterAutospacing="1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हिरासतमा रहेको व्यक्तिलाई मानवोचित व्यवहार नगरेको वा त्यस्तो व्यक्तिलाई आफन्त वा कानून व्यवसायी मार्फत भेटघाट गर्न नदिएको भन्ने उजुरी वा जानकारी प्राप्त हुन आएमा आवश्यक निर्देशन दिने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850946" w:rsidRDefault="00850946" w:rsidP="00850946">
            <w:pPr>
              <w:pStyle w:val="ListParagraph"/>
              <w:numPr>
                <w:ilvl w:val="0"/>
                <w:numId w:val="9"/>
              </w:numPr>
              <w:spacing w:after="100" w:afterAutospacing="1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AF014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अधिकार प्रत्यायोजन,</w:t>
            </w:r>
          </w:p>
          <w:p w:rsidR="00850946" w:rsidRPr="00AF014B" w:rsidRDefault="00850946" w:rsidP="00850946">
            <w:pPr>
              <w:pStyle w:val="ListParagraph"/>
              <w:numPr>
                <w:ilvl w:val="0"/>
                <w:numId w:val="9"/>
              </w:numPr>
              <w:spacing w:after="100" w:afterAutospacing="1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AF014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उजुरीलाई पुष्टि गर्ने कागज वा विवरण वा जानकारी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850946" w:rsidRPr="0084571A" w:rsidRDefault="00850946" w:rsidP="00D01EAC">
            <w:pPr>
              <w:spacing w:after="100" w:afterAutospacing="1" w:line="240" w:lineRule="auto"/>
              <w:ind w:left="75" w:right="75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उजुरी वा जानकारी प्राप्त भएको मितिले ७(सात) दिन भित्र 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50946" w:rsidRPr="0084571A" w:rsidRDefault="00850946" w:rsidP="00850946">
            <w:pPr>
              <w:spacing w:after="100" w:afterAutospacing="1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50946" w:rsidRPr="0084571A" w:rsidRDefault="00850946" w:rsidP="00D01EAC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प्रशासन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50946" w:rsidRPr="0084571A" w:rsidRDefault="00850946" w:rsidP="00D01EAC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50946" w:rsidRPr="0084571A" w:rsidRDefault="00F40A0B" w:rsidP="00D01EAC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850946" w:rsidRPr="0084571A" w:rsidRDefault="00F40A0B" w:rsidP="00D01EAC">
            <w:pPr>
              <w:spacing w:after="100" w:afterAutospacing="1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5736D4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850946" w:rsidRPr="0084571A" w:rsidRDefault="00850946" w:rsidP="001E4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850946" w:rsidRPr="0084571A" w:rsidRDefault="00850946" w:rsidP="00D01EAC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कारागार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मा रहेका कैदी तथा थुनुवा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तथा बाल सुधार गृहमा रहेका 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कानूनको विवादमा परेका बालबालिका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को मानव अधिकारको अवस्थाबारे अनुगमन गरी आवश्यक निर्देशन दिने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850946" w:rsidRDefault="00850946" w:rsidP="008509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AF014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अधिकार प्रत्यायोजन,</w:t>
            </w:r>
          </w:p>
          <w:p w:rsidR="00850946" w:rsidRDefault="00850946" w:rsidP="008509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पूर्व तथा तत्कालको </w:t>
            </w:r>
            <w:r w:rsidRPr="00AF014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अनुगमन प्रतिवेदन, </w:t>
            </w:r>
          </w:p>
          <w:p w:rsidR="00850946" w:rsidRPr="00AF014B" w:rsidRDefault="00850946" w:rsidP="008509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AF014B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अन्य कुनै स्रोतबाट प्राप्त सूचना, जानकारी वा उजुरी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850946" w:rsidRPr="0084571A" w:rsidRDefault="00850946" w:rsidP="00D01EA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मनासिब समयभित्र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50946" w:rsidRPr="0084571A" w:rsidRDefault="00850946" w:rsidP="00850946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50946" w:rsidRPr="0084571A" w:rsidRDefault="00850946" w:rsidP="00D01EA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प्रशासन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50946" w:rsidRPr="0084571A" w:rsidRDefault="00850946" w:rsidP="00D01EAC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50946" w:rsidRPr="0084571A" w:rsidRDefault="00F40A0B" w:rsidP="00D01EAC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850946" w:rsidRPr="0084571A" w:rsidRDefault="00F40A0B" w:rsidP="00D01EAC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</w:p>
        </w:tc>
      </w:tr>
      <w:tr w:rsidR="00F40A0B" w:rsidRPr="00182F43" w:rsidTr="005736D4">
        <w:tc>
          <w:tcPr>
            <w:tcW w:w="360" w:type="dxa"/>
            <w:shd w:val="clear" w:color="auto" w:fill="FFFFFF"/>
            <w:vAlign w:val="center"/>
            <w:hideMark/>
          </w:tcPr>
          <w:p w:rsidR="00F40A0B" w:rsidRPr="0084571A" w:rsidRDefault="00F40A0B" w:rsidP="001E4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40A0B" w:rsidRPr="0084571A" w:rsidRDefault="00F40A0B" w:rsidP="00D01EAC">
            <w:pPr>
              <w:spacing w:after="0" w:line="240" w:lineRule="auto"/>
              <w:ind w:left="71" w:right="75"/>
              <w:jc w:val="both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अनुगमन तथा निरीक्षण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F40A0B" w:rsidRPr="00AF014B" w:rsidRDefault="00F40A0B" w:rsidP="00F40A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right="75" w:hanging="180"/>
              <w:jc w:val="both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बेलाबखत तथा आवश्यकता अनुसार</w:t>
            </w:r>
            <w:r w:rsidR="00EF34C3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मातहतमा रहेका जिल्ला सरकारी वकील कार्यालय-धनुषा/महोत्तरी र सर्लाहीमा गइ उक्त कार्यालयहरुबाट भइ रहेका कार्यसम्पादनहरुको निरीक्षण तथा अनुगमन गरी प्रतिवेदन तयार गरी तालुक कार्यालयमा पठाउने।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F40A0B" w:rsidRPr="0084571A" w:rsidRDefault="00EF34C3" w:rsidP="00D01EA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आवश्यकता अनुसार जुनसुकै बेलामा पनि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0A0B" w:rsidRPr="0084571A" w:rsidRDefault="00EF34C3" w:rsidP="00850946">
            <w:pPr>
              <w:spacing w:after="0" w:line="240" w:lineRule="auto"/>
              <w:jc w:val="center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नलाग्ने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40A0B" w:rsidRPr="0084571A" w:rsidRDefault="00EF34C3" w:rsidP="00D01EA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प्रशासन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तथा मुद्दा</w:t>
            </w: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शाखा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40A0B" w:rsidRPr="0084571A" w:rsidRDefault="00EF34C3" w:rsidP="00D01EAC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  <w:r w:rsidRPr="0084571A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तथा निजले तोकेका अन्य सरकारी वकील समेत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40A0B" w:rsidRDefault="00EF34C3" w:rsidP="00D01EAC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  <w:r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>सहन्यायाधिवक्ता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F40A0B" w:rsidRDefault="00F40A0B" w:rsidP="00D01EAC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</w:pPr>
          </w:p>
        </w:tc>
      </w:tr>
      <w:tr w:rsidR="00952086" w:rsidRPr="00182F43" w:rsidTr="005736D4">
        <w:tc>
          <w:tcPr>
            <w:tcW w:w="13770" w:type="dxa"/>
            <w:gridSpan w:val="9"/>
            <w:shd w:val="clear" w:color="auto" w:fill="FFFFFF"/>
            <w:vAlign w:val="center"/>
            <w:hideMark/>
          </w:tcPr>
          <w:p w:rsidR="00DD541B" w:rsidRDefault="00DD541B" w:rsidP="001E4741">
            <w:p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</w:rPr>
            </w:pPr>
            <w:r w:rsidRPr="00182F43">
              <w:rPr>
                <w:rFonts w:ascii="Arial" w:eastAsia="Times New Roman" w:hAnsi="Arial" w:cs="Kalimati"/>
                <w:color w:val="000000"/>
                <w:sz w:val="17"/>
                <w:cs/>
              </w:rPr>
              <w:t>सूचना अधिकारी :</w:t>
            </w:r>
            <w:r w:rsidRPr="00182F43">
              <w:rPr>
                <w:rFonts w:ascii="Arial" w:eastAsia="Times New Roman" w:hAnsi="Arial" w:cs="Kalimati"/>
                <w:color w:val="000000"/>
                <w:sz w:val="17"/>
              </w:rPr>
              <w:t>   </w:t>
            </w:r>
            <w:r>
              <w:rPr>
                <w:rFonts w:ascii="Arial" w:eastAsia="Times New Roman" w:hAnsi="Arial" w:cs="Kalimati" w:hint="cs"/>
                <w:color w:val="000000"/>
                <w:sz w:val="17"/>
                <w:cs/>
              </w:rPr>
              <w:t xml:space="preserve">सहायक न्यायाधिवक्ता </w:t>
            </w:r>
            <w:r w:rsidR="00A64E03">
              <w:rPr>
                <w:rFonts w:ascii="Arial" w:eastAsia="Times New Roman" w:hAnsi="Arial" w:cs="Kalimati" w:hint="cs"/>
                <w:color w:val="000000"/>
                <w:sz w:val="17"/>
                <w:cs/>
              </w:rPr>
              <w:t>श्री</w:t>
            </w:r>
            <w:r w:rsidR="00F40A0B">
              <w:rPr>
                <w:rFonts w:ascii="Arial" w:eastAsia="Times New Roman" w:hAnsi="Arial" w:cs="Kalimati" w:hint="cs"/>
                <w:color w:val="000000"/>
                <w:sz w:val="17"/>
                <w:cs/>
              </w:rPr>
              <w:t xml:space="preserve"> उमंग निरौला</w:t>
            </w:r>
            <w:r>
              <w:rPr>
                <w:rFonts w:ascii="Arial" w:eastAsia="Times New Roman" w:hAnsi="Arial" w:cs="Kalimati"/>
                <w:color w:val="000000"/>
                <w:sz w:val="17"/>
              </w:rPr>
              <w:t xml:space="preserve">                                         </w:t>
            </w:r>
            <w:r w:rsidR="00A87E36">
              <w:rPr>
                <w:rFonts w:ascii="Arial" w:eastAsia="Times New Roman" w:hAnsi="Arial" w:cs="Kalimati"/>
                <w:color w:val="000000"/>
                <w:sz w:val="17"/>
              </w:rPr>
              <w:t xml:space="preserve">      </w:t>
            </w:r>
            <w:r>
              <w:rPr>
                <w:rFonts w:ascii="Arial" w:eastAsia="Times New Roman" w:hAnsi="Arial" w:cs="Kalimati"/>
                <w:color w:val="000000"/>
                <w:sz w:val="17"/>
              </w:rPr>
              <w:t xml:space="preserve"> </w:t>
            </w:r>
            <w:r w:rsidR="00F40A0B">
              <w:rPr>
                <w:rFonts w:ascii="Arial" w:eastAsia="Times New Roman" w:hAnsi="Arial" w:cs="Kalimati"/>
                <w:color w:val="000000"/>
                <w:sz w:val="17"/>
              </w:rPr>
              <w:t xml:space="preserve">               </w:t>
            </w:r>
            <w:r w:rsidR="005736D4">
              <w:rPr>
                <w:rFonts w:ascii="Arial" w:eastAsia="Times New Roman" w:hAnsi="Arial" w:cs="Kalimati" w:hint="cs"/>
                <w:color w:val="000000"/>
                <w:sz w:val="17"/>
                <w:cs/>
              </w:rPr>
              <w:t xml:space="preserve"> </w:t>
            </w:r>
            <w:r w:rsidR="00782163" w:rsidRPr="00F40A0B">
              <w:rPr>
                <w:rFonts w:ascii="Arial" w:eastAsia="Times New Roman" w:hAnsi="Arial" w:cs="Kalimati"/>
                <w:b/>
                <w:bCs/>
                <w:color w:val="000000"/>
                <w:sz w:val="17"/>
                <w:cs/>
              </w:rPr>
              <w:t xml:space="preserve">फोन नं. : </w:t>
            </w:r>
            <w:r w:rsidR="00F40A0B" w:rsidRPr="00F40A0B">
              <w:rPr>
                <w:rFonts w:ascii="Arial" w:eastAsia="Times New Roman" w:hAnsi="Arial" w:cs="Kalimati" w:hint="cs"/>
                <w:b/>
                <w:bCs/>
                <w:color w:val="000000"/>
                <w:sz w:val="17"/>
                <w:cs/>
              </w:rPr>
              <w:t>041-420130</w:t>
            </w:r>
          </w:p>
          <w:p w:rsidR="00F40A0B" w:rsidRDefault="00DD541B" w:rsidP="00DD541B">
            <w:pPr>
              <w:spacing w:after="0" w:line="240" w:lineRule="auto"/>
              <w:jc w:val="both"/>
              <w:rPr>
                <w:rFonts w:ascii="Arial" w:eastAsia="Times New Roman" w:hAnsi="Arial" w:cs="Kalimati" w:hint="cs"/>
                <w:color w:val="000000"/>
                <w:sz w:val="17"/>
              </w:rPr>
            </w:pPr>
            <w:r>
              <w:rPr>
                <w:rFonts w:ascii="Arial" w:eastAsia="Times New Roman" w:hAnsi="Arial" w:cs="Kalimati"/>
                <w:color w:val="000000"/>
                <w:sz w:val="17"/>
              </w:rPr>
              <w:t xml:space="preserve">                                                                                                                                        </w:t>
            </w:r>
            <w:r w:rsidR="00A87E36">
              <w:rPr>
                <w:rFonts w:ascii="Arial" w:eastAsia="Times New Roman" w:hAnsi="Arial" w:cs="Kalimati"/>
                <w:color w:val="000000"/>
                <w:sz w:val="17"/>
              </w:rPr>
              <w:t xml:space="preserve">                      </w:t>
            </w:r>
            <w:r w:rsidR="00A87E36">
              <w:rPr>
                <w:rFonts w:ascii="Arial" w:eastAsia="Times New Roman" w:hAnsi="Arial" w:cs="Kalimati" w:hint="cs"/>
                <w:color w:val="000000"/>
                <w:sz w:val="17"/>
                <w:cs/>
              </w:rPr>
              <w:t xml:space="preserve"> </w:t>
            </w:r>
            <w:r w:rsidR="00A64E03">
              <w:rPr>
                <w:rFonts w:ascii="Arial" w:eastAsia="Times New Roman" w:hAnsi="Arial" w:cs="Kalimati"/>
                <w:b/>
                <w:bCs/>
                <w:color w:val="000000"/>
                <w:sz w:val="17"/>
              </w:rPr>
              <w:t>Email</w:t>
            </w:r>
            <w:r w:rsidR="00952086" w:rsidRPr="00F40A0B">
              <w:rPr>
                <w:rFonts w:ascii="Arial" w:eastAsia="Times New Roman" w:hAnsi="Arial" w:cs="Kalimati"/>
                <w:b/>
                <w:bCs/>
                <w:color w:val="000000"/>
                <w:sz w:val="17"/>
                <w:cs/>
              </w:rPr>
              <w:t xml:space="preserve"> </w:t>
            </w:r>
            <w:r w:rsidR="00952086" w:rsidRPr="00182F43">
              <w:rPr>
                <w:rFonts w:ascii="Arial" w:eastAsia="Times New Roman" w:hAnsi="Arial" w:cs="Kalimati"/>
                <w:color w:val="000000"/>
                <w:sz w:val="17"/>
                <w:cs/>
              </w:rPr>
              <w:t xml:space="preserve">: </w:t>
            </w:r>
            <w:proofErr w:type="spellStart"/>
            <w:r w:rsidR="00F40A0B" w:rsidRPr="00F40A0B">
              <w:rPr>
                <w:rFonts w:ascii="Arial" w:eastAsia="Times New Roman" w:hAnsi="Arial" w:cs="Kalimati"/>
                <w:b/>
                <w:bCs/>
                <w:color w:val="000000"/>
                <w:sz w:val="19"/>
                <w:szCs w:val="22"/>
              </w:rPr>
              <w:t>hgao.janakpur@ag.gov.np</w:t>
            </w:r>
            <w:proofErr w:type="spellEnd"/>
          </w:p>
          <w:p w:rsidR="00F40A0B" w:rsidRPr="00182F43" w:rsidRDefault="00952086" w:rsidP="00F40A0B">
            <w:p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  <w:r w:rsidRPr="00182F43">
              <w:rPr>
                <w:rFonts w:ascii="Arial" w:eastAsia="Times New Roman" w:hAnsi="Arial" w:cs="Kalimati"/>
                <w:color w:val="000000"/>
                <w:sz w:val="17"/>
                <w:szCs w:val="17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 w:rsidR="00A64E03">
              <w:rPr>
                <w:rFonts w:ascii="Arial" w:eastAsia="Times New Roman" w:hAnsi="Arial" w:cs="Kalimati"/>
                <w:color w:val="000000"/>
                <w:sz w:val="17"/>
                <w:szCs w:val="17"/>
              </w:rPr>
              <w:t xml:space="preserve"> </w:t>
            </w:r>
            <w:r w:rsidR="009E3BD4">
              <w:rPr>
                <w:rFonts w:ascii="Arial" w:eastAsia="Times New Roman" w:hAnsi="Arial" w:cs="Kalimati" w:hint="cs"/>
                <w:color w:val="000000"/>
                <w:sz w:val="17"/>
                <w:szCs w:val="17"/>
                <w:cs/>
              </w:rPr>
              <w:t xml:space="preserve"> </w:t>
            </w:r>
            <w:r w:rsidR="00DD541B" w:rsidRPr="00182F43">
              <w:rPr>
                <w:rFonts w:ascii="Arial" w:eastAsia="Times New Roman" w:hAnsi="Arial" w:cs="Kalimati"/>
                <w:color w:val="000000"/>
                <w:sz w:val="17"/>
                <w:cs/>
              </w:rPr>
              <w:t>:</w:t>
            </w:r>
            <w:r w:rsidR="00DD541B">
              <w:rPr>
                <w:rFonts w:ascii="Arial" w:eastAsia="Times New Roman" w:hAnsi="Arial" w:cs="Kalimati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40A0B" w:rsidRPr="00F40A0B">
              <w:rPr>
                <w:rFonts w:ascii="Arial" w:eastAsia="Times New Roman" w:hAnsi="Arial" w:cs="Kalimati"/>
                <w:b/>
                <w:bCs/>
                <w:color w:val="000000"/>
                <w:sz w:val="19"/>
                <w:szCs w:val="22"/>
              </w:rPr>
              <w:t>pusawakajanakpur@yahoo.com</w:t>
            </w:r>
            <w:proofErr w:type="spellEnd"/>
          </w:p>
          <w:p w:rsidR="00952086" w:rsidRPr="00182F43" w:rsidRDefault="00952086" w:rsidP="00F40A0B">
            <w:pPr>
              <w:spacing w:after="0" w:line="240" w:lineRule="auto"/>
              <w:jc w:val="both"/>
              <w:rPr>
                <w:rFonts w:ascii="Arial" w:eastAsia="Times New Roman" w:hAnsi="Arial" w:cs="Kalimati"/>
                <w:color w:val="000000"/>
                <w:sz w:val="17"/>
                <w:szCs w:val="17"/>
              </w:rPr>
            </w:pPr>
          </w:p>
        </w:tc>
      </w:tr>
    </w:tbl>
    <w:p w:rsidR="00DF6538" w:rsidRPr="00182F43" w:rsidRDefault="00DF6538">
      <w:pPr>
        <w:rPr>
          <w:rFonts w:cs="Kalimati"/>
        </w:rPr>
      </w:pPr>
    </w:p>
    <w:sectPr w:rsidR="00DF6538" w:rsidRPr="00182F43" w:rsidSect="005736D4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B58"/>
    <w:multiLevelType w:val="hybridMultilevel"/>
    <w:tmpl w:val="848444F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281C77"/>
    <w:multiLevelType w:val="hybridMultilevel"/>
    <w:tmpl w:val="72F0C95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2D0942"/>
    <w:multiLevelType w:val="hybridMultilevel"/>
    <w:tmpl w:val="9DDA55C4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5573A0"/>
    <w:multiLevelType w:val="hybridMultilevel"/>
    <w:tmpl w:val="1F823970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6F5112"/>
    <w:multiLevelType w:val="hybridMultilevel"/>
    <w:tmpl w:val="CD18C130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ADF1E64"/>
    <w:multiLevelType w:val="hybridMultilevel"/>
    <w:tmpl w:val="318AEE64"/>
    <w:lvl w:ilvl="0" w:tplc="18D4C5C2">
      <w:start w:val="1"/>
      <w:numFmt w:val="decimal"/>
      <w:lvlText w:val="%1="/>
      <w:lvlJc w:val="left"/>
      <w:pPr>
        <w:ind w:left="450" w:hanging="360"/>
      </w:pPr>
      <w:rPr>
        <w:rFonts w:ascii="PCS NEPALI" w:hAnsi="PCS NEPAL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211977"/>
    <w:multiLevelType w:val="hybridMultilevel"/>
    <w:tmpl w:val="36A85A88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6066652"/>
    <w:multiLevelType w:val="hybridMultilevel"/>
    <w:tmpl w:val="689829C8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718533D"/>
    <w:multiLevelType w:val="hybridMultilevel"/>
    <w:tmpl w:val="1D42D51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A455A"/>
    <w:multiLevelType w:val="hybridMultilevel"/>
    <w:tmpl w:val="C49AE580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F7654F3"/>
    <w:multiLevelType w:val="hybridMultilevel"/>
    <w:tmpl w:val="47304A0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11D3CD9"/>
    <w:multiLevelType w:val="hybridMultilevel"/>
    <w:tmpl w:val="1D1C12C0"/>
    <w:lvl w:ilvl="0" w:tplc="3F0632BE">
      <w:start w:val="1"/>
      <w:numFmt w:val="decimal"/>
      <w:lvlText w:val="%1="/>
      <w:lvlJc w:val="left"/>
      <w:pPr>
        <w:ind w:left="450" w:hanging="360"/>
      </w:pPr>
      <w:rPr>
        <w:rFonts w:ascii="PCS NEPALI" w:hAnsi="PCS NEP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D881EC3"/>
    <w:multiLevelType w:val="hybridMultilevel"/>
    <w:tmpl w:val="8E3E574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4EF5FAE"/>
    <w:multiLevelType w:val="hybridMultilevel"/>
    <w:tmpl w:val="832475A2"/>
    <w:lvl w:ilvl="0" w:tplc="2C984B68">
      <w:start w:val="1"/>
      <w:numFmt w:val="decimal"/>
      <w:lvlText w:val="%1="/>
      <w:lvlJc w:val="left"/>
      <w:pPr>
        <w:ind w:left="450" w:hanging="360"/>
      </w:pPr>
      <w:rPr>
        <w:rFonts w:ascii="PCS NEPALI" w:hAnsi="PCS NEPAL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29F9"/>
    <w:multiLevelType w:val="hybridMultilevel"/>
    <w:tmpl w:val="025A9FE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2F43"/>
    <w:rsid w:val="00013EF4"/>
    <w:rsid w:val="00017D52"/>
    <w:rsid w:val="000316E7"/>
    <w:rsid w:val="000345C0"/>
    <w:rsid w:val="00041FB2"/>
    <w:rsid w:val="00043388"/>
    <w:rsid w:val="00093008"/>
    <w:rsid w:val="000D7574"/>
    <w:rsid w:val="000F002B"/>
    <w:rsid w:val="0010062A"/>
    <w:rsid w:val="0013196E"/>
    <w:rsid w:val="00171F74"/>
    <w:rsid w:val="00182F43"/>
    <w:rsid w:val="001E4741"/>
    <w:rsid w:val="001F769C"/>
    <w:rsid w:val="00241000"/>
    <w:rsid w:val="00242463"/>
    <w:rsid w:val="00253743"/>
    <w:rsid w:val="00267FD6"/>
    <w:rsid w:val="002C63CC"/>
    <w:rsid w:val="002D58A4"/>
    <w:rsid w:val="002F171B"/>
    <w:rsid w:val="00326FC1"/>
    <w:rsid w:val="003A616F"/>
    <w:rsid w:val="003D006F"/>
    <w:rsid w:val="004820BD"/>
    <w:rsid w:val="004A122B"/>
    <w:rsid w:val="004E2A35"/>
    <w:rsid w:val="00502CDF"/>
    <w:rsid w:val="00536114"/>
    <w:rsid w:val="005736D4"/>
    <w:rsid w:val="00591374"/>
    <w:rsid w:val="005B360C"/>
    <w:rsid w:val="006E6487"/>
    <w:rsid w:val="006E7019"/>
    <w:rsid w:val="00726515"/>
    <w:rsid w:val="007311A6"/>
    <w:rsid w:val="0073787D"/>
    <w:rsid w:val="007463D8"/>
    <w:rsid w:val="007711D5"/>
    <w:rsid w:val="00772102"/>
    <w:rsid w:val="00782163"/>
    <w:rsid w:val="007904C5"/>
    <w:rsid w:val="00826D22"/>
    <w:rsid w:val="0084571A"/>
    <w:rsid w:val="00850946"/>
    <w:rsid w:val="00862FF7"/>
    <w:rsid w:val="00884B98"/>
    <w:rsid w:val="008935E9"/>
    <w:rsid w:val="00894846"/>
    <w:rsid w:val="008B4B9A"/>
    <w:rsid w:val="008D1EB7"/>
    <w:rsid w:val="008F044F"/>
    <w:rsid w:val="00952086"/>
    <w:rsid w:val="0095600D"/>
    <w:rsid w:val="00966A71"/>
    <w:rsid w:val="0097288D"/>
    <w:rsid w:val="00981A41"/>
    <w:rsid w:val="009E3BD4"/>
    <w:rsid w:val="009F2E01"/>
    <w:rsid w:val="00A64E03"/>
    <w:rsid w:val="00A87E36"/>
    <w:rsid w:val="00AA2CFC"/>
    <w:rsid w:val="00AB5176"/>
    <w:rsid w:val="00AF014B"/>
    <w:rsid w:val="00B26070"/>
    <w:rsid w:val="00B3433A"/>
    <w:rsid w:val="00B7161B"/>
    <w:rsid w:val="00B93C6B"/>
    <w:rsid w:val="00BD611F"/>
    <w:rsid w:val="00C4075E"/>
    <w:rsid w:val="00C75DAA"/>
    <w:rsid w:val="00C9621E"/>
    <w:rsid w:val="00D10FDE"/>
    <w:rsid w:val="00D1554E"/>
    <w:rsid w:val="00D416F7"/>
    <w:rsid w:val="00D515E6"/>
    <w:rsid w:val="00D9355D"/>
    <w:rsid w:val="00DB5A99"/>
    <w:rsid w:val="00DD541B"/>
    <w:rsid w:val="00DF6538"/>
    <w:rsid w:val="00E04B6D"/>
    <w:rsid w:val="00E05EF8"/>
    <w:rsid w:val="00E43CF7"/>
    <w:rsid w:val="00E87CD0"/>
    <w:rsid w:val="00ED5894"/>
    <w:rsid w:val="00EE0FAD"/>
    <w:rsid w:val="00EF34C3"/>
    <w:rsid w:val="00F14B0D"/>
    <w:rsid w:val="00F40A0B"/>
    <w:rsid w:val="00F41C97"/>
    <w:rsid w:val="00F95E4F"/>
    <w:rsid w:val="00FA76FE"/>
    <w:rsid w:val="00FC3AE8"/>
    <w:rsid w:val="00FD2E58"/>
    <w:rsid w:val="00FE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8"/>
  </w:style>
  <w:style w:type="paragraph" w:styleId="Heading2">
    <w:name w:val="heading 2"/>
    <w:basedOn w:val="Normal"/>
    <w:link w:val="Heading2Char"/>
    <w:uiPriority w:val="9"/>
    <w:qFormat/>
    <w:rsid w:val="00182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82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F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82F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82F43"/>
    <w:rPr>
      <w:b/>
      <w:bCs/>
    </w:rPr>
  </w:style>
  <w:style w:type="paragraph" w:styleId="NormalWeb">
    <w:name w:val="Normal (Web)"/>
    <w:basedOn w:val="Normal"/>
    <w:uiPriority w:val="99"/>
    <w:unhideWhenUsed/>
    <w:rsid w:val="001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2021-08-25T08:58:00Z</cp:lastPrinted>
  <dcterms:created xsi:type="dcterms:W3CDTF">2021-08-25T08:58:00Z</dcterms:created>
  <dcterms:modified xsi:type="dcterms:W3CDTF">2021-08-25T08:58:00Z</dcterms:modified>
</cp:coreProperties>
</file>